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FB" w:rsidRDefault="007A095B" w:rsidP="00D22A8F">
      <w:pPr>
        <w:sectPr w:rsidR="00FB4EFB" w:rsidSect="00FB4EF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7A095B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631680" cy="6935470"/>
            <wp:effectExtent l="19050" t="0" r="762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lovnica - 6 - sat razredni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68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59F" w:rsidRDefault="000E059F" w:rsidP="00D22A8F"/>
    <w:tbl>
      <w:tblPr>
        <w:tblStyle w:val="ListTable6ColorfulAccent5"/>
        <w:tblpPr w:leftFromText="180" w:rightFromText="180" w:vertAnchor="text" w:horzAnchor="margin" w:tblpXSpec="center" w:tblpY="-612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4059"/>
        <w:gridCol w:w="7281"/>
      </w:tblGrid>
      <w:tr w:rsidR="006B1555" w:rsidRPr="00846C83" w:rsidTr="008352AA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8352AA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E18A6F" w:themeFill="accent3" w:themeFillTint="99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E18A6F" w:themeFill="accent3" w:themeFillTint="99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E18A6F" w:themeFill="accent3" w:themeFillTint="99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AF145E">
        <w:trPr>
          <w:trHeight w:val="5108"/>
        </w:trPr>
        <w:tc>
          <w:tcPr>
            <w:cnfStyle w:val="00100000000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8352AA" w:rsidRPr="00846C83" w:rsidRDefault="008352AA" w:rsidP="008352AA">
            <w:pPr>
              <w:spacing w:before="120"/>
              <w:ind w:left="57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Obveze i dužnosti učenika</w:t>
            </w:r>
          </w:p>
          <w:p w:rsidR="008352AA" w:rsidRPr="00846C83" w:rsidRDefault="008352AA" w:rsidP="008352AA">
            <w:pPr>
              <w:spacing w:before="120"/>
              <w:ind w:left="57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Kućni red, Statut škole, Pravilnik o načinu praćenja i ocjenjivanja</w:t>
            </w:r>
          </w:p>
          <w:p w:rsidR="008352AA" w:rsidRDefault="008352AA" w:rsidP="008352AA">
            <w:pPr>
              <w:pStyle w:val="ListParagraph"/>
              <w:spacing w:before="120"/>
              <w:ind w:left="57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Izbor za predsjednika razreda i vijeće učenika</w:t>
            </w:r>
          </w:p>
          <w:p w:rsidR="00846C83" w:rsidRPr="00846C83" w:rsidRDefault="00846C83" w:rsidP="008352AA">
            <w:pPr>
              <w:pStyle w:val="ListParagraph"/>
              <w:spacing w:before="120"/>
              <w:ind w:left="57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8352AA" w:rsidRPr="00846C83" w:rsidRDefault="008352AA" w:rsidP="008352AA">
            <w:pPr>
              <w:pStyle w:val="ListParagraph"/>
              <w:spacing w:before="120"/>
              <w:ind w:left="57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4. </w:t>
            </w:r>
            <w:proofErr w:type="spellStart"/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Donošenje</w:t>
            </w:r>
            <w:proofErr w:type="spellEnd"/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 </w:t>
            </w:r>
            <w:proofErr w:type="spellStart"/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razrednih</w:t>
            </w:r>
            <w:proofErr w:type="spellEnd"/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 </w:t>
            </w:r>
            <w:proofErr w:type="spellStart"/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pravila</w:t>
            </w:r>
            <w:proofErr w:type="spellEnd"/>
          </w:p>
          <w:p w:rsidR="00170590" w:rsidRPr="00846C83" w:rsidRDefault="00170590" w:rsidP="00170590">
            <w:pPr>
              <w:ind w:left="57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281" w:type="dxa"/>
            <w:shd w:val="clear" w:color="auto" w:fill="FFFFFF" w:themeFill="background1"/>
          </w:tcPr>
          <w:p w:rsidR="00BF5634" w:rsidRPr="00BF5634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5D21BD" w:rsidRDefault="005D21BD" w:rsidP="005D21BD">
            <w:pPr>
              <w:pStyle w:val="Default"/>
              <w:cnfStyle w:val="000000000000"/>
              <w:rPr>
                <w:color w:val="221F1F"/>
                <w:sz w:val="20"/>
                <w:szCs w:val="20"/>
              </w:rPr>
            </w:pPr>
          </w:p>
          <w:p w:rsidR="005D21BD" w:rsidRDefault="005D21BD" w:rsidP="005D21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</w:t>
            </w:r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2.</w:t>
            </w:r>
            <w:r w:rsidRPr="005D21BD">
              <w:rPr>
                <w:rStyle w:val="SubtleEmphasis"/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5D21BD" w:rsidRDefault="005D21BD" w:rsidP="005D21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A.3.3</w:t>
            </w:r>
            <w:r w:rsidRPr="005D21BD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5D21BD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</w:p>
          <w:p w:rsidR="005D21BD" w:rsidRDefault="005D21BD" w:rsidP="005D21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B.3.1.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5D21BD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F5634" w:rsidRPr="005D21BD" w:rsidRDefault="005D21BD" w:rsidP="005D21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B.3.2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F5634" w:rsidRPr="005D21BD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BF5634" w:rsidRDefault="005D21BD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B.3.2</w:t>
            </w:r>
            <w:r w:rsidR="007E75DE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7E75DE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BF563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</w:rPr>
              <w:t>suradnički uči i radi u timu</w:t>
            </w:r>
          </w:p>
          <w:p w:rsidR="00BF5634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BF5634" w:rsidRPr="00BF5634" w:rsidRDefault="005D21BD" w:rsidP="00607AD5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 w:rsidRPr="005D21BD">
              <w:rPr>
                <w:rStyle w:val="SubtleEmphasis"/>
                <w:rFonts w:asciiTheme="minorHAnsi" w:eastAsia="Times New Roman" w:hAnsiTheme="minorHAnsi" w:cstheme="minorHAnsi"/>
                <w:b/>
                <w:i w:val="0"/>
                <w:color w:val="000000" w:themeColor="text1"/>
                <w:sz w:val="18"/>
                <w:szCs w:val="18"/>
                <w:lang w:eastAsia="hr-HR"/>
              </w:rPr>
              <w:t>goo</w:t>
            </w:r>
            <w:proofErr w:type="gramEnd"/>
            <w:r w:rsidRPr="005D21BD">
              <w:rPr>
                <w:rStyle w:val="SubtleEmphasis"/>
                <w:rFonts w:asciiTheme="minorHAnsi" w:eastAsia="Times New Roman" w:hAnsiTheme="minorHAnsi" w:cstheme="minorHAnsi"/>
                <w:b/>
                <w:i w:val="0"/>
                <w:color w:val="000000" w:themeColor="text1"/>
                <w:sz w:val="18"/>
                <w:szCs w:val="18"/>
                <w:lang w:eastAsia="hr-HR"/>
              </w:rPr>
              <w:t xml:space="preserve"> B.3.3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AF145E" w:rsidRDefault="005D21BD" w:rsidP="00607AD5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color w:val="000000" w:themeColor="text1"/>
                <w:sz w:val="18"/>
              </w:rPr>
            </w:pPr>
            <w:proofErr w:type="spellStart"/>
            <w:r w:rsidRPr="005D21BD">
              <w:rPr>
                <w:b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goo</w:t>
            </w:r>
            <w:proofErr w:type="spellEnd"/>
            <w:r w:rsidRPr="005D21BD">
              <w:rPr>
                <w:b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 C.3.2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. Doprinosi društvenoj solidarnosti (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BF5634">
              <w:rPr>
                <w:i/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  <w:r>
              <w:rPr>
                <w:i/>
                <w:color w:val="231F20"/>
                <w:sz w:val="18"/>
                <w:szCs w:val="18"/>
                <w:shd w:val="clear" w:color="auto" w:fill="FFFFFF"/>
                <w:lang w:val="hr-HR"/>
              </w:rPr>
              <w:t>)</w:t>
            </w:r>
          </w:p>
          <w:p w:rsidR="00AF145E" w:rsidRP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 xml:space="preserve">Učiti kako učiti </w:t>
            </w:r>
          </w:p>
          <w:p w:rsidR="00AF145E" w:rsidRPr="00C9656C" w:rsidRDefault="005D21BD" w:rsidP="00607AD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sz w:val="18"/>
                <w:szCs w:val="18"/>
              </w:rPr>
              <w:t>uku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 A.3.3</w:t>
            </w:r>
            <w:r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F145E" w:rsidRPr="00C9656C"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>samostalno oblikuje svoje ideje i kreativ</w:t>
            </w:r>
            <w:r w:rsidR="00AF145E"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>no pristupa rješavanju problema</w:t>
            </w:r>
          </w:p>
          <w:p w:rsidR="00AF145E" w:rsidRDefault="00AF145E" w:rsidP="00AF145E">
            <w:pPr>
              <w:pStyle w:val="NormalWeb"/>
              <w:spacing w:before="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sz w:val="20"/>
              </w:rPr>
            </w:pPr>
          </w:p>
          <w:p w:rsidR="00AF145E" w:rsidRDefault="00AF145E" w:rsidP="00AF145E">
            <w:pPr>
              <w:pStyle w:val="NormalWeb"/>
              <w:spacing w:before="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>Uporaba informacijsko-komunikacijske tehnologije</w:t>
            </w:r>
          </w:p>
          <w:p w:rsidR="00AF145E" w:rsidRPr="00AF145E" w:rsidRDefault="00AF145E" w:rsidP="00AF145E">
            <w:pPr>
              <w:pStyle w:val="NormalWeb"/>
              <w:spacing w:before="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12"/>
              </w:rPr>
            </w:pPr>
          </w:p>
          <w:p w:rsidR="00AF145E" w:rsidRPr="005708BF" w:rsidRDefault="005D21BD" w:rsidP="00607A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sz w:val="18"/>
                <w:szCs w:val="18"/>
              </w:rPr>
              <w:t>ikt</w:t>
            </w:r>
            <w:proofErr w:type="spellEnd"/>
            <w:r w:rsidRPr="005D21BD">
              <w:rPr>
                <w:rStyle w:val="SubtleEmphasis"/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 D.3.1.</w:t>
            </w:r>
            <w:r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45E" w:rsidRPr="005708BF">
              <w:rPr>
                <w:rStyle w:val="SubtleEmphasis"/>
                <w:rFonts w:asciiTheme="minorHAnsi" w:hAnsiTheme="minorHAnsi" w:cstheme="minorHAnsi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NoSpacing"/>
              <w:ind w:left="360"/>
              <w:cnfStyle w:val="00000000000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8352AA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7A095B" w:rsidRDefault="007A095B" w:rsidP="00D22A8F">
      <w:pPr>
        <w:rPr>
          <w:color w:val="987200" w:themeColor="accent5" w:themeShade="BF"/>
        </w:rPr>
      </w:pPr>
    </w:p>
    <w:p w:rsidR="007A095B" w:rsidRDefault="007A095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p w:rsidR="00CD18C6" w:rsidRDefault="0098758C" w:rsidP="00D22A8F">
      <w:pPr>
        <w:rPr>
          <w:color w:val="987200" w:themeColor="accent5" w:themeShade="BF"/>
        </w:rPr>
      </w:pPr>
      <w:r>
        <w:rPr>
          <w:noProof/>
          <w:color w:val="987200" w:themeColor="accent5" w:themeShade="BF"/>
        </w:rPr>
        <w:pict>
          <v:rect id="Pravokutnik 12" o:spid="_x0000_s1026" style="position:absolute;margin-left:569pt;margin-top:.85pt;width:75.7pt;height:23.7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" fillcolor="white [3212]" stroked="f" strokeweight="1pt"/>
        </w:pict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6B1555" w:rsidRPr="00846C83" w:rsidTr="008352AA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listopad</w:t>
            </w:r>
          </w:p>
        </w:tc>
      </w:tr>
      <w:tr w:rsidR="000F1AC7" w:rsidRPr="00846C83" w:rsidTr="008352AA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E18A6F" w:themeFill="accent3" w:themeFillTint="99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E9146D">
        <w:trPr>
          <w:trHeight w:val="1267"/>
        </w:trPr>
        <w:tc>
          <w:tcPr>
            <w:cnfStyle w:val="00100000000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846C83" w:rsidRPr="00846C83" w:rsidRDefault="00846C83" w:rsidP="00846C83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1. </w:t>
            </w:r>
            <w:proofErr w:type="spellStart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Učiti</w:t>
            </w:r>
            <w:proofErr w:type="spellEnd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kako</w:t>
            </w:r>
            <w:proofErr w:type="spellEnd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učiti</w:t>
            </w:r>
            <w:proofErr w:type="spellEnd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 </w:t>
            </w:r>
          </w:p>
          <w:p w:rsidR="00846C83" w:rsidRPr="00846C83" w:rsidRDefault="00846C83" w:rsidP="00846C83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2. Prava </w:t>
            </w:r>
            <w:proofErr w:type="spellStart"/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djeteta</w:t>
            </w:r>
            <w:proofErr w:type="spellEnd"/>
          </w:p>
          <w:p w:rsidR="00846C83" w:rsidRPr="00846C83" w:rsidRDefault="00846C83" w:rsidP="00846C83">
            <w:pPr>
              <w:pStyle w:val="BodyText2"/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</w:rPr>
              <w:t>3. PRAVILNA PREHRANA</w:t>
            </w:r>
          </w:p>
          <w:p w:rsidR="00846C83" w:rsidRPr="00846C83" w:rsidRDefault="00846C83" w:rsidP="00846C83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>Izrada jelovnika prema godišnjim dobima – pravilna prehrana i tradicijska jela kraja</w:t>
            </w:r>
            <w:r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cr/>
            </w:r>
          </w:p>
          <w:p w:rsidR="008352AA" w:rsidRPr="00846C83" w:rsidRDefault="008352AA" w:rsidP="008352AA">
            <w:pPr>
              <w:pStyle w:val="NoSpacing"/>
              <w:spacing w:before="120" w:after="120"/>
              <w:ind w:left="113" w:righ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 xml:space="preserve">Učiti kako učiti </w:t>
            </w:r>
          </w:p>
          <w:p w:rsidR="004620B7" w:rsidRPr="004620B7" w:rsidRDefault="004620B7" w:rsidP="004620B7">
            <w:pPr>
              <w:pStyle w:val="ListParagraph"/>
              <w:numPr>
                <w:ilvl w:val="0"/>
                <w:numId w:val="27"/>
              </w:numPr>
              <w:spacing w:before="20"/>
              <w:ind w:left="713"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spellStart"/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ku</w:t>
            </w:r>
            <w:proofErr w:type="spellEnd"/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.3.1.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am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l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ž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ve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f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rmac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iz ra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li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č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h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vo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ra, tra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f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rm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ra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h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vo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i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5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š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mje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š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ava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b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l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</w:t>
            </w:r>
          </w:p>
          <w:p w:rsidR="004620B7" w:rsidRPr="004620B7" w:rsidRDefault="00AF145E" w:rsidP="004620B7">
            <w:pPr>
              <w:pStyle w:val="ListParagraph"/>
              <w:numPr>
                <w:ilvl w:val="0"/>
                <w:numId w:val="28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koje su mu informacije potrebne i planira kako doći do njih</w:t>
            </w:r>
            <w:r w:rsidR="004620B7"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)</w:t>
            </w:r>
          </w:p>
          <w:p w:rsidR="004620B7" w:rsidRPr="004620B7" w:rsidRDefault="00AF145E" w:rsidP="004620B7">
            <w:pPr>
              <w:pStyle w:val="ListParagraph"/>
              <w:numPr>
                <w:ilvl w:val="0"/>
                <w:numId w:val="28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pretražuje i odabire informacije iz različitih dostupnih izvora</w:t>
            </w:r>
          </w:p>
          <w:p w:rsidR="004620B7" w:rsidRPr="004620B7" w:rsidRDefault="00AF145E" w:rsidP="004620B7">
            <w:pPr>
              <w:pStyle w:val="ListParagraph"/>
              <w:numPr>
                <w:ilvl w:val="0"/>
                <w:numId w:val="28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razlikuje neposredne i posredne informacijske izvore</w:t>
            </w:r>
          </w:p>
          <w:p w:rsidR="00AF145E" w:rsidRPr="004620B7" w:rsidRDefault="00AF145E" w:rsidP="004620B7">
            <w:pPr>
              <w:pStyle w:val="ListParagraph"/>
              <w:numPr>
                <w:ilvl w:val="0"/>
                <w:numId w:val="28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prepoznaje vrstu informacije i izvora s obzirom na postavljeni zadatak/problem</w:t>
            </w:r>
          </w:p>
          <w:p w:rsidR="00FF62BC" w:rsidRDefault="004620B7" w:rsidP="00FF62BC">
            <w:pPr>
              <w:pStyle w:val="ListParagraph"/>
              <w:numPr>
                <w:ilvl w:val="0"/>
                <w:numId w:val="27"/>
              </w:numPr>
              <w:spacing w:before="20"/>
              <w:ind w:left="713" w:right="-20"/>
              <w:cnfStyle w:val="00000000000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proofErr w:type="spellStart"/>
            <w:r w:rsidRPr="00464F34">
              <w:rPr>
                <w:rFonts w:ascii="Calibri" w:eastAsia="Calibri" w:hAnsi="Calibri" w:cs="Calibri"/>
                <w:b/>
                <w:color w:val="221F1F"/>
                <w:sz w:val="18"/>
                <w:szCs w:val="18"/>
              </w:rPr>
              <w:t>uku</w:t>
            </w:r>
            <w:proofErr w:type="spellEnd"/>
            <w:r w:rsidRPr="00464F34">
              <w:rPr>
                <w:rFonts w:ascii="Calibri" w:eastAsia="Calibri" w:hAnsi="Calibri" w:cs="Calibri"/>
                <w:b/>
                <w:color w:val="221F1F"/>
                <w:sz w:val="18"/>
                <w:szCs w:val="18"/>
              </w:rPr>
              <w:t xml:space="preserve"> A.3.3. </w:t>
            </w:r>
            <w:r w:rsidR="007E75DE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k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reativno mišljenje</w:t>
            </w:r>
            <w:r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u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čenik samostalno oblikuje svoje ideje i</w:t>
            </w:r>
            <w:r w:rsidR="00464F34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</w:t>
            </w:r>
            <w:r w:rsidRPr="00464F34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kreativno pristupa rješavanju problema</w:t>
            </w:r>
          </w:p>
          <w:p w:rsidR="00FF62BC" w:rsidRPr="00FF62BC" w:rsidRDefault="00AF145E" w:rsidP="00FF62BC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otvoren je raznolikim (novim) idejama i pristupima, osmišljava ih, povezuje i iskušava.</w:t>
            </w:r>
          </w:p>
          <w:p w:rsidR="00AF145E" w:rsidRPr="00FF62BC" w:rsidRDefault="00AF145E" w:rsidP="00FF62BC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FF62BC" w:rsidRPr="007E75DE" w:rsidRDefault="00FF62BC" w:rsidP="00FF62BC">
            <w:pPr>
              <w:pStyle w:val="ListParagraph"/>
              <w:numPr>
                <w:ilvl w:val="0"/>
                <w:numId w:val="27"/>
              </w:numPr>
              <w:spacing w:before="54"/>
              <w:ind w:right="-20"/>
              <w:cnfStyle w:val="00000000000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proofErr w:type="spellStart"/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u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ku</w:t>
            </w:r>
            <w:proofErr w:type="spellEnd"/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A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.3.2</w:t>
            </w:r>
            <w:r w:rsidRPr="00FF62BC">
              <w:rPr>
                <w:rFonts w:ascii="Calibri" w:eastAsia="Calibri" w:hAnsi="Calibri" w:cs="Calibri"/>
                <w:color w:val="221F1F"/>
                <w:sz w:val="18"/>
                <w:szCs w:val="18"/>
              </w:rPr>
              <w:t>.</w:t>
            </w:r>
            <w:r w:rsidRPr="00FF62BC">
              <w:rPr>
                <w:rFonts w:ascii="Calibri" w:eastAsia="Calibri" w:hAnsi="Calibri" w:cs="Calibr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koristi </w:t>
            </w:r>
            <w:r w:rsidR="007E75DE"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se </w:t>
            </w:r>
            <w:r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različitim strategijama učenja i primjenjuje ih u ostvarivanju ciljeva učenja i rješavanju problema u svim područjima učenja uz povremeno praćenje učitelja</w:t>
            </w:r>
          </w:p>
          <w:p w:rsidR="008352AA" w:rsidRPr="00AF145E" w:rsidRDefault="00AF145E" w:rsidP="00FF62BC">
            <w:pPr>
              <w:pStyle w:val="ListParagraph"/>
              <w:numPr>
                <w:ilvl w:val="0"/>
                <w:numId w:val="9"/>
              </w:numPr>
              <w:spacing w:after="48"/>
              <w:ind w:left="1139" w:firstLine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P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AF145E" w:rsidRPr="00AF145E" w:rsidRDefault="00FF62BC" w:rsidP="00607AD5">
            <w:pPr>
              <w:pStyle w:val="ListParagraph"/>
              <w:numPr>
                <w:ilvl w:val="0"/>
                <w:numId w:val="10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goo.A.3.1.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AF145E"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promišlja o razvoju ljudskih prava</w:t>
            </w:r>
          </w:p>
          <w:p w:rsidR="00AF145E" w:rsidRPr="00AF145E" w:rsidRDefault="00FF62BC" w:rsidP="00607AD5">
            <w:pPr>
              <w:pStyle w:val="ListParagraph"/>
              <w:numPr>
                <w:ilvl w:val="0"/>
                <w:numId w:val="10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goo.A.3.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2</w:t>
            </w: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.</w:t>
            </w:r>
            <w:r w:rsidR="00AF145E"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uočava važnost Ustava Republike Hrvatske i drugih temeljnih dokumenata u zaštiti ljudskih prava</w:t>
            </w:r>
          </w:p>
          <w:p w:rsidR="00AF145E" w:rsidRPr="00AF145E" w:rsidRDefault="00FF62BC" w:rsidP="00607AD5">
            <w:pPr>
              <w:pStyle w:val="ListParagraph"/>
              <w:numPr>
                <w:ilvl w:val="0"/>
                <w:numId w:val="10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</w:t>
            </w:r>
            <w:proofErr w:type="spellEnd"/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promiče ljudska prava (upoznaje se s pravima djeteta)</w:t>
            </w:r>
          </w:p>
          <w:p w:rsid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AF145E" w:rsidRPr="00AF145E" w:rsidRDefault="00FF62BC" w:rsidP="00607AD5">
            <w:pPr>
              <w:pStyle w:val="NoSpacing"/>
              <w:numPr>
                <w:ilvl w:val="0"/>
                <w:numId w:val="11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</w:pPr>
            <w:r w:rsidRPr="00FF62B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Zdravlje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 </w:t>
            </w:r>
            <w:r>
              <w:rPr>
                <w:rFonts w:cs="Calibri"/>
                <w:b/>
                <w:bCs/>
                <w:color w:val="221F1F"/>
                <w:spacing w:val="-1"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bCs/>
                <w:color w:val="221F1F"/>
                <w:sz w:val="18"/>
                <w:szCs w:val="18"/>
              </w:rPr>
              <w:t>.3.2.A</w:t>
            </w:r>
            <w:r w:rsidRPr="00AF14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 </w:t>
            </w:r>
            <w:r w:rsidR="00AF145E" w:rsidRPr="00AF14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opisuje pravilnu prehranu i prepoznaje neprimjerenost redukcijske dijete za dob i razvoj</w:t>
            </w:r>
          </w:p>
          <w:p w:rsidR="00AF145E" w:rsidRPr="00FF62BC" w:rsidRDefault="00AF145E" w:rsidP="00FF62BC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opisuje pravilnu prehranu. Razlikuje zdravstvenu od redukcijske dijete te raspravlja o neprimjerenosti redukcijske dijete za dob i razvoj</w:t>
            </w:r>
          </w:p>
          <w:p w:rsidR="00AF145E" w:rsidRPr="00FF62BC" w:rsidRDefault="00AF145E" w:rsidP="00FF62BC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objašnjava deklaracije prehrambenih namirnica te kritički interpretira opise proizvoda na deklaracijama i različite oznake povezane s njihovom trajnošću</w:t>
            </w:r>
          </w:p>
          <w:p w:rsidR="00AF145E" w:rsidRPr="00AF145E" w:rsidRDefault="00AF145E" w:rsidP="00AF145E">
            <w:p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8352AA" w:rsidRPr="00846C83" w:rsidTr="008352AA">
        <w:trPr>
          <w:cnfStyle w:val="000000100000"/>
          <w:trHeight w:val="1515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</w:t>
            </w:r>
            <w:r w:rsidR="00C45BE6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</w:t>
            </w:r>
            <w:r w:rsidR="00C45BE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Animated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ListParagraph"/>
              <w:spacing w:after="48"/>
              <w:ind w:left="833"/>
              <w:textAlignment w:val="baseline"/>
              <w:cnfStyle w:val="0000001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7A095B" w:rsidRDefault="007A095B">
      <w:pPr>
        <w:rPr>
          <w:i/>
        </w:rPr>
      </w:pPr>
    </w:p>
    <w:p w:rsidR="007A095B" w:rsidRDefault="007A095B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131CA" w:rsidRPr="001B5954" w:rsidRDefault="008131CA">
      <w:pPr>
        <w:rPr>
          <w:i/>
        </w:rPr>
      </w:pP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1B5954" w:rsidRPr="00846C83" w:rsidTr="00846C83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studeni</w:t>
            </w:r>
          </w:p>
        </w:tc>
      </w:tr>
      <w:tr w:rsidR="00651701" w:rsidRPr="00846C83" w:rsidTr="00846C83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E18A6F" w:themeFill="accent3" w:themeFillTint="99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846C83">
        <w:trPr>
          <w:trHeight w:val="3932"/>
        </w:trPr>
        <w:tc>
          <w:tcPr>
            <w:cnfStyle w:val="00100000000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846C83" w:rsidRPr="00846C83" w:rsidRDefault="00846C83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MENTALNO ZDRAVLJE </w:t>
            </w:r>
          </w:p>
          <w:p w:rsidR="00846C83" w:rsidRPr="00846C83" w:rsidRDefault="000061D1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1. 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Zdravlje – najveća dragocjenost </w:t>
            </w:r>
          </w:p>
          <w:p w:rsidR="00D27403" w:rsidRDefault="00D27403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</w:p>
          <w:p w:rsidR="00846C83" w:rsidRDefault="000061D1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2. 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>Komunikacijske vještine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cr/>
            </w:r>
          </w:p>
          <w:p w:rsidR="00846C83" w:rsidRPr="00846C83" w:rsidRDefault="000061D1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. 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</w:rPr>
              <w:t>Što mi se sviđa, a što ne u postupcima odraslih</w:t>
            </w:r>
          </w:p>
          <w:p w:rsidR="00846C83" w:rsidRDefault="00846C83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</w:p>
          <w:p w:rsidR="00846C83" w:rsidRPr="00846C83" w:rsidRDefault="000061D1" w:rsidP="00846C83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4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. </w:t>
            </w:r>
            <w:proofErr w:type="spellStart"/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it-IT"/>
              </w:rPr>
              <w:t>Komunikacijske</w:t>
            </w:r>
            <w:proofErr w:type="spellEnd"/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it-IT"/>
              </w:rPr>
              <w:t xml:space="preserve"> </w:t>
            </w:r>
            <w:proofErr w:type="spellStart"/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it-IT"/>
              </w:rPr>
              <w:t>vještine</w:t>
            </w:r>
            <w:proofErr w:type="spellEnd"/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it-IT"/>
              </w:rPr>
              <w:t xml:space="preserve"> </w:t>
            </w:r>
          </w:p>
          <w:p w:rsidR="00846C83" w:rsidRPr="00846C83" w:rsidRDefault="00846C83" w:rsidP="001B5954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Default="00D27403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D27403" w:rsidRPr="00D27403" w:rsidRDefault="00CA51B2" w:rsidP="00607A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CA51B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Zdravlje B.3.1.B </w:t>
            </w:r>
            <w:r w:rsidR="00D27403" w:rsidRPr="00D27403">
              <w:rPr>
                <w:rFonts w:asciiTheme="minorHAnsi" w:hAnsiTheme="minorHAnsi" w:cstheme="minorHAnsi"/>
                <w:i/>
                <w:color w:val="231F20"/>
                <w:sz w:val="18"/>
              </w:rPr>
              <w:t>razlikuje i vrednuje različite načine komunikacije i ponašanja</w:t>
            </w:r>
          </w:p>
          <w:p w:rsidR="00D27403" w:rsidRPr="00CA51B2" w:rsidRDefault="00D27403" w:rsidP="00CA51B2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prepoznaje izvore i znakove stresa</w:t>
            </w:r>
          </w:p>
          <w:p w:rsidR="00D27403" w:rsidRPr="00CA51B2" w:rsidRDefault="00D27403" w:rsidP="00CA51B2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obrazlaže važnost razvoja samopoštovanja i samopouzdanja za jačanje osobnih potencijala</w:t>
            </w:r>
          </w:p>
          <w:p w:rsidR="00D27403" w:rsidRDefault="00D27403" w:rsidP="00CA51B2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opisuje razlike stečene rođenjem</w:t>
            </w:r>
          </w:p>
          <w:p w:rsidR="00CA51B2" w:rsidRPr="00CA51B2" w:rsidRDefault="00CA51B2" w:rsidP="00CA51B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CA51B2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 xml:space="preserve">Zdravlje B.3.2.D </w:t>
            </w: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Prepoznaje utjecaj odgovornoga spolnoga ponašanja na mentalno zdravlje. </w:t>
            </w:r>
          </w:p>
          <w:p w:rsidR="00D27403" w:rsidRPr="00CA51B2" w:rsidRDefault="00D27403" w:rsidP="00CA51B2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usvaja i prihvaća da su pubertet i adolescencija praćeni intenzivnim emocijama</w:t>
            </w:r>
          </w:p>
          <w:p w:rsidR="00D27403" w:rsidRPr="00D27403" w:rsidRDefault="00D27403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8D7851" w:rsidRPr="008D7851" w:rsidRDefault="008D7851" w:rsidP="008D785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</w:pPr>
            <w:proofErr w:type="spellStart"/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A.3.1.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azvija sliku o sebi. </w:t>
            </w:r>
          </w:p>
          <w:p w:rsidR="00846C83" w:rsidRDefault="00D27403" w:rsidP="008D7851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objašnjava svoje mogućnosti i ograničenja, prednosti i nedostatke, stavove i uvjerenja</w:t>
            </w:r>
          </w:p>
          <w:p w:rsidR="008D7851" w:rsidRPr="008D7851" w:rsidRDefault="008D7851" w:rsidP="008D785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b/>
                <w:color w:val="231F20"/>
                <w:sz w:val="18"/>
              </w:rPr>
            </w:pPr>
            <w:proofErr w:type="spellStart"/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A.3.2.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u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pravlja emocijama i ponašanjem. </w:t>
            </w:r>
          </w:p>
          <w:p w:rsidR="00D27403" w:rsidRPr="008D7851" w:rsidRDefault="00D27403" w:rsidP="008D7851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procjenjuje kada, kako i s kime može razgovarati o svome emocionalnom stanju</w:t>
            </w:r>
          </w:p>
          <w:p w:rsidR="00D27403" w:rsidRPr="00846C83" w:rsidRDefault="008D7851" w:rsidP="007E75D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proofErr w:type="spellStart"/>
            <w:r w:rsidRPr="007E75DE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7E75DE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B.3.2.</w:t>
            </w:r>
            <w:r w:rsidRP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D27403" w:rsidRP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</w:p>
        </w:tc>
      </w:tr>
      <w:tr w:rsidR="00471DA4" w:rsidRPr="00846C83" w:rsidTr="00846C83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7A095B" w:rsidRDefault="007A095B"/>
    <w:p w:rsidR="007A095B" w:rsidRDefault="007A095B">
      <w:pPr>
        <w:spacing w:after="160" w:line="259" w:lineRule="auto"/>
      </w:pPr>
      <w:r>
        <w:br w:type="page"/>
      </w:r>
    </w:p>
    <w:p w:rsidR="00471DA4" w:rsidRDefault="00471DA4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4C3546" w:rsidRPr="00846C83" w:rsidTr="000061D1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933E00" w:themeFill="accent4" w:themeFillShade="8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prosinac</w:t>
            </w:r>
          </w:p>
        </w:tc>
      </w:tr>
      <w:tr w:rsidR="00651701" w:rsidRPr="00846C83" w:rsidTr="000061D1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E18A6F" w:themeFill="accent3" w:themeFillTint="99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FA3111">
        <w:trPr>
          <w:trHeight w:val="3977"/>
        </w:trPr>
        <w:tc>
          <w:tcPr>
            <w:cnfStyle w:val="00100000000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s razrednim odjelom božićni sajam ako postoji interes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Vrijeme darivanja - božićni i novogodišnji blagdani</w:t>
            </w: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Uređenje učionice za blagdane</w:t>
            </w:r>
          </w:p>
          <w:p w:rsidR="00D27403" w:rsidRDefault="00D27403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D27403" w:rsidRPr="000061D1" w:rsidRDefault="00D27403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Božićni sajam</w:t>
            </w: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</w:p>
          <w:p w:rsidR="000061D1" w:rsidRPr="000061D1" w:rsidRDefault="00D27403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</w:rPr>
              <w:t>4</w:t>
            </w:r>
            <w:r w:rsidR="000061D1" w:rsidRPr="000061D1">
              <w:rPr>
                <w:rFonts w:asciiTheme="minorHAnsi" w:hAnsiTheme="minorHAnsi" w:cstheme="minorHAnsi"/>
                <w:b/>
                <w:color w:val="E18A6F" w:themeColor="accent3" w:themeTint="99"/>
              </w:rPr>
              <w:t xml:space="preserve">. </w:t>
            </w:r>
            <w:r w:rsidR="000061D1"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ŽIVOTNE VJEŠTINE</w:t>
            </w: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Vrijednosti </w:t>
            </w:r>
          </w:p>
          <w:p w:rsidR="007413D9" w:rsidRPr="00846C83" w:rsidRDefault="007413D9" w:rsidP="007413D9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5A240A" w:rsidRDefault="005A240A" w:rsidP="005A240A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Poduzetništvo</w:t>
            </w:r>
          </w:p>
          <w:p w:rsidR="005A240A" w:rsidRPr="0012564C" w:rsidRDefault="0012564C" w:rsidP="0012564C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</w:t>
            </w:r>
            <w:r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="00FA3111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rješenja</w:t>
            </w:r>
          </w:p>
          <w:p w:rsidR="007413D9" w:rsidRPr="00675DE3" w:rsidRDefault="00FA3111" w:rsidP="00675DE3">
            <w:pPr>
              <w:pStyle w:val="ListParagraph"/>
              <w:numPr>
                <w:ilvl w:val="0"/>
                <w:numId w:val="29"/>
              </w:numPr>
              <w:spacing w:before="20"/>
              <w:ind w:right="-20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675DE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</w:t>
            </w:r>
            <w:r w:rsidR="005A240A" w:rsidRPr="00675DE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redlaže preporuke za razvoj poduzetničkog potencijala u okružju</w:t>
            </w:r>
          </w:p>
          <w:p w:rsidR="005A240A" w:rsidRPr="00FA3111" w:rsidRDefault="00675DE3" w:rsidP="00607AD5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</w:t>
            </w:r>
            <w:r w:rsidR="007E75D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od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FA3111" w:rsidRPr="00FA3111" w:rsidRDefault="00FA3111" w:rsidP="00FA311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675DE3" w:rsidRPr="00675DE3" w:rsidRDefault="00675DE3" w:rsidP="00675DE3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proofErr w:type="gramStart"/>
            <w:r w:rsidRPr="00675DE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75DE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s </w:t>
            </w:r>
            <w:proofErr w:type="spellStart"/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drugima</w:t>
            </w:r>
            <w:proofErr w:type="spellEnd"/>
          </w:p>
          <w:p w:rsidR="005211CD" w:rsidRPr="00675DE3" w:rsidRDefault="005211CD" w:rsidP="00675DE3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675DE3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prilagođava i usklađuje svoje ponašanje s pravilima u skupini</w:t>
            </w:r>
          </w:p>
          <w:p w:rsidR="005211CD" w:rsidRPr="00785049" w:rsidRDefault="005211CD" w:rsidP="00785049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pokazuje vještine dogovaranja, pregovaranja i postizanja kompromisa</w:t>
            </w:r>
          </w:p>
          <w:p w:rsidR="00785049" w:rsidRPr="00785049" w:rsidRDefault="00785049" w:rsidP="00785049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7850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7850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C.3.3.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E75D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ktivno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sudjeluje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pridonosi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školi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lokalnoj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zajednici</w:t>
            </w:r>
            <w:proofErr w:type="spellEnd"/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785049" w:rsidRDefault="005211CD" w:rsidP="00785049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sudjeluje u timskim aktivnostima</w:t>
            </w:r>
          </w:p>
          <w:p w:rsidR="005211CD" w:rsidRPr="00785049" w:rsidRDefault="005211CD" w:rsidP="00785049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0061D1">
        <w:trPr>
          <w:cnfStyle w:val="000000100000"/>
          <w:trHeight w:val="1529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FA3111" w:rsidRDefault="00FA3111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0061D1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siječanj</w:t>
            </w:r>
          </w:p>
        </w:tc>
      </w:tr>
      <w:tr w:rsidR="00651701" w:rsidRPr="000061D1" w:rsidTr="000061D1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FA3111">
        <w:trPr>
          <w:trHeight w:val="4681"/>
        </w:trPr>
        <w:tc>
          <w:tcPr>
            <w:cnfStyle w:val="00100000000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ŽIVOTNE VJEŠTINE</w:t>
            </w: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1. Promocija odgovornog ponašanja </w:t>
            </w: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</w:p>
          <w:p w:rsidR="000061D1" w:rsidRPr="000061D1" w:rsidRDefault="000061D1" w:rsidP="000061D1">
            <w:pPr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</w:rPr>
              <w:t>2.</w:t>
            </w: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 Utjecaj medija i vršnjaka prema sredstvima ovisnosti </w:t>
            </w:r>
          </w:p>
          <w:p w:rsidR="00A13A23" w:rsidRPr="000061D1" w:rsidRDefault="00A13A23" w:rsidP="00471DA4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5211CD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5211CD" w:rsidRPr="005211CD" w:rsidRDefault="00345B5B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Zdravlje B.3.3.A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6"/>
                <w:sz w:val="18"/>
                <w:szCs w:val="18"/>
              </w:rPr>
              <w:t xml:space="preserve"> </w:t>
            </w:r>
            <w:r w:rsidR="007E75DE">
              <w:rPr>
                <w:rFonts w:ascii="Calibri" w:eastAsia="Calibri" w:hAnsi="Calibri" w:cs="Calibri"/>
                <w:b/>
                <w:bCs/>
                <w:color w:val="221F1F"/>
                <w:spacing w:val="-6"/>
                <w:sz w:val="18"/>
                <w:szCs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345B5B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B.3.3.B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5"/>
                <w:sz w:val="18"/>
                <w:szCs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345B5B" w:rsidRPr="00345B5B" w:rsidRDefault="00345B5B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C.3.1.B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brazlaže potencijalne opasnosti u kućanstvu i okolini</w:t>
            </w:r>
          </w:p>
          <w:p w:rsidR="005211CD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prihvaća važnost opreza u situacijama rizičnima za ozljeđivanje</w:t>
            </w:r>
          </w:p>
          <w:p w:rsidR="005211CD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usvaja stav da je konzumiranje alkohola i droga neprihvatljivo i ugrožava zdravlje</w:t>
            </w:r>
          </w:p>
          <w:p w:rsidR="005211CD" w:rsidRPr="00FA3111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komunikacijske kompetencije i uvažavajuće odnose s drugima</w:t>
            </w:r>
          </w:p>
          <w:p w:rsidR="00A13A23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preuzima odgovornost za svoje postupke i izbore</w:t>
            </w:r>
          </w:p>
          <w:p w:rsidR="005211CD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svojim ponašanjem ne ugrožava sebe ni druge</w:t>
            </w:r>
          </w:p>
          <w:p w:rsidR="00345B5B" w:rsidRDefault="00345B5B" w:rsidP="00345B5B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potencijale </w:t>
            </w:r>
          </w:p>
          <w:p w:rsidR="005211CD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uviđa što želi unaprijediti u svome ponašanju</w:t>
            </w:r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B.3.3</w:t>
            </w:r>
            <w:r w:rsidRPr="00345B5B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.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razvija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rješavanja sukoba </w:t>
            </w:r>
          </w:p>
          <w:p w:rsidR="005211CD" w:rsidRPr="00345B5B" w:rsidRDefault="005211CD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poznaje nenasilne strategije rješavanja sukoba i prepoznaje situacije koje mogu dovesti do sukoba</w:t>
            </w:r>
          </w:p>
        </w:tc>
      </w:tr>
      <w:tr w:rsidR="00A13A23" w:rsidRPr="000061D1" w:rsidTr="000061D1">
        <w:trPr>
          <w:cnfStyle w:val="000000100000"/>
          <w:trHeight w:val="983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FA3111" w:rsidRDefault="00FA3111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0061D1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veljača</w:t>
            </w:r>
          </w:p>
        </w:tc>
      </w:tr>
      <w:tr w:rsidR="00651701" w:rsidRPr="000061D1" w:rsidTr="000061D1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675DE3">
        <w:trPr>
          <w:trHeight w:val="2589"/>
        </w:trPr>
        <w:tc>
          <w:tcPr>
            <w:cnfStyle w:val="00100000000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Pr="000061D1" w:rsidRDefault="000061D1" w:rsidP="00607AD5">
            <w:pPr>
              <w:numPr>
                <w:ilvl w:val="0"/>
                <w:numId w:val="2"/>
              </w:numPr>
              <w:spacing w:before="120"/>
              <w:ind w:left="47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Odolijevanje pritisku vršnjaka – zauzimanje za sebe </w:t>
            </w:r>
          </w:p>
          <w:p w:rsidR="000061D1" w:rsidRPr="000061D1" w:rsidRDefault="000061D1" w:rsidP="00607AD5">
            <w:pPr>
              <w:numPr>
                <w:ilvl w:val="0"/>
                <w:numId w:val="2"/>
              </w:numPr>
              <w:spacing w:before="120"/>
              <w:ind w:left="47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Emocije u vršnjačkim odnosima </w:t>
            </w:r>
          </w:p>
          <w:p w:rsidR="000061D1" w:rsidRPr="000061D1" w:rsidRDefault="000061D1" w:rsidP="00607AD5">
            <w:pPr>
              <w:pStyle w:val="ListParagraph"/>
              <w:numPr>
                <w:ilvl w:val="0"/>
                <w:numId w:val="2"/>
              </w:numPr>
              <w:spacing w:before="120"/>
              <w:ind w:left="47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E18A6F" w:themeColor="accent3" w:themeTint="99"/>
              </w:rPr>
              <w:t>Poštovanja dostojanstva svake osobe i zajednički rad na dobrobit svih</w:t>
            </w:r>
          </w:p>
          <w:p w:rsidR="000061D1" w:rsidRPr="000061D1" w:rsidRDefault="000061D1" w:rsidP="006412B6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345B5B" w:rsidRPr="00345B5B" w:rsidRDefault="00345B5B" w:rsidP="00607AD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B.3.1.A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opisuje i procjenjuje vršnjački pritisak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navodi i objašnjava vrste pritiska u prijateljskim/partnerskim odnosima i načine kako im se oduprijeti</w:t>
            </w:r>
          </w:p>
          <w:p w:rsidR="00345B5B" w:rsidRDefault="00345B5B" w:rsidP="00607AD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>B.3.1.B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azlikuje i vrednuje različite načine komunikacije i ponašanja</w:t>
            </w:r>
            <w:r w:rsidRPr="00AF152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razlikuje svoje od tuđih potreba, ponašanja, osobina i osjećaja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povezuje vrste ponašanja s mogućim posljedicama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objašnjava razlike između asertivnoga, pasivnoga i agresivnoga ponašanja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 xml:space="preserve">obrazlaže svoju ulogu i doprinos u osnaživanju zajednice </w:t>
            </w:r>
          </w:p>
          <w:p w:rsidR="00AF1521" w:rsidRPr="00FA3111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B.3.1.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brazlaže i uvažava potrebe i osjećaje drugih 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pokazuje razumijevanje za osjećaje i potrebe drugih, razvija empatiju</w:t>
            </w:r>
          </w:p>
          <w:p w:rsidR="00AF1521" w:rsidRPr="00AF1521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i/>
                <w:color w:val="000000" w:themeColor="text1"/>
                <w:sz w:val="18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zalaže</w:t>
            </w:r>
            <w:r w:rsidRPr="00AF1521">
              <w:rPr>
                <w:i/>
                <w:color w:val="000000" w:themeColor="text1"/>
                <w:sz w:val="18"/>
              </w:rPr>
              <w:t xml:space="preserve"> se za svoja i tuđa prava bez ugrožavanja drugih</w:t>
            </w:r>
          </w:p>
          <w:p w:rsidR="00345B5B" w:rsidRDefault="00345B5B" w:rsidP="00345B5B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 w:rsidR="007E75DE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61D1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povezuje svoje i tuđe stavove, izbore i postupke s posljedicama</w:t>
            </w:r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C.3.1.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azlikuje sigurne od rizičnih situacija i ima razvijene osnovne strategije samozaštite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odlučuje o vlastitome sigurnom ponašanju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odbija nagovor vršnjaka na nepoželjno ponašanje</w:t>
            </w:r>
          </w:p>
          <w:p w:rsidR="00AF1521" w:rsidRPr="00AF1521" w:rsidRDefault="00AF1521" w:rsidP="00AF1521">
            <w:pPr>
              <w:pStyle w:val="NoSpacing"/>
              <w:ind w:left="720"/>
              <w:cnfStyle w:val="000000000000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7360E" w:rsidRPr="000061D1" w:rsidTr="000061D1">
        <w:trPr>
          <w:cnfStyle w:val="000000100000"/>
          <w:trHeight w:val="1253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8C5C2E" w:rsidTr="008C5C2E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ožujak</w:t>
            </w:r>
          </w:p>
        </w:tc>
      </w:tr>
      <w:tr w:rsidR="00651701" w:rsidRPr="008C5C2E" w:rsidTr="008C5C2E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7A095B">
        <w:trPr>
          <w:trHeight w:val="983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8C5C2E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8C5C2E" w:rsidRDefault="008C5C2E" w:rsidP="00607AD5">
            <w:pPr>
              <w:pStyle w:val="ListParagraph"/>
              <w:numPr>
                <w:ilvl w:val="0"/>
                <w:numId w:val="3"/>
              </w:numPr>
              <w:spacing w:before="120"/>
              <w:ind w:left="47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C5C2E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Emocije u vršnjačkim odnosima </w:t>
            </w:r>
          </w:p>
          <w:p w:rsidR="008C5C2E" w:rsidRPr="008C5C2E" w:rsidRDefault="008C5C2E" w:rsidP="00607AD5">
            <w:pPr>
              <w:pStyle w:val="ListParagraph"/>
              <w:numPr>
                <w:ilvl w:val="0"/>
                <w:numId w:val="3"/>
              </w:numPr>
              <w:spacing w:before="120"/>
              <w:ind w:left="47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C5C2E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Uloga medija u vršnjaĉkim odnosima </w:t>
            </w:r>
          </w:p>
          <w:p w:rsidR="008C5C2E" w:rsidRPr="008C5C2E" w:rsidRDefault="008C5C2E" w:rsidP="001A04D1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Default="00AF1521" w:rsidP="00AF1521">
            <w:pPr>
              <w:spacing w:after="48"/>
              <w:textAlignment w:val="baseline"/>
              <w:cnfStyle w:val="000000000000"/>
              <w:rPr>
                <w:color w:val="231F20"/>
                <w:sz w:val="18"/>
                <w:szCs w:val="18"/>
                <w:shd w:val="clear" w:color="auto" w:fill="FFFFFF"/>
              </w:rPr>
            </w:pPr>
          </w:p>
          <w:p w:rsidR="00AF1521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A.3.1.A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ravilno organizira vrijeme za rad i odmor tijekom dana</w:t>
            </w:r>
          </w:p>
          <w:p w:rsidR="008C5C2E" w:rsidRPr="00AF1521" w:rsidRDefault="00345B5B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i/>
                <w:color w:val="000000" w:themeColor="text1"/>
                <w:sz w:val="18"/>
                <w:shd w:val="clear" w:color="auto" w:fill="FFFFFF"/>
              </w:rPr>
            </w:pPr>
            <w:r w:rsidRPr="00AF1521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poštuje</w:t>
            </w:r>
            <w:proofErr w:type="spellEnd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dnevni</w:t>
            </w:r>
            <w:proofErr w:type="spellEnd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ritam</w:t>
            </w:r>
            <w:proofErr w:type="spellEnd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rada</w:t>
            </w:r>
            <w:proofErr w:type="spellEnd"/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 odmora i ograničenje vremena za boravak ispred ekrana</w:t>
            </w:r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B.3.1.A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pisuje i procjenjuje vršnjački pritisak </w:t>
            </w:r>
          </w:p>
          <w:p w:rsidR="00AF1521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odupire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se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vršnjačkim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pritiscima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rizičnim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situacijama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u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stvarnome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virtualnome</w:t>
            </w:r>
            <w:proofErr w:type="spellEnd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svijetu</w:t>
            </w:r>
            <w:proofErr w:type="spellEnd"/>
          </w:p>
          <w:p w:rsidR="00345B5B" w:rsidRPr="00345B5B" w:rsidRDefault="00345B5B" w:rsidP="00345B5B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B.3.1.B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azlikuje i vrednuje različite načine komunikacije i ponašanja</w:t>
            </w:r>
          </w:p>
          <w:p w:rsidR="00AF1521" w:rsidRPr="00345B5B" w:rsidRDefault="00AF1521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prihvaća odgovornost za vlastite odluke i posljedice svojega ponašanja</w:t>
            </w:r>
          </w:p>
          <w:p w:rsidR="00AF1521" w:rsidRPr="00FA3111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607AD5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B.3.1.</w:t>
            </w:r>
            <w:r w:rsidR="007E75DE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brazlaže i uvažava potrebe i osjećaje drugih </w:t>
            </w:r>
          </w:p>
          <w:p w:rsidR="00AF1521" w:rsidRPr="004E2AD2" w:rsidRDefault="004E2AD2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povezuje važnost prezentiranja svojih jakih strana te važnost zastupanja svojih i tuđih prava</w:t>
            </w:r>
          </w:p>
          <w:p w:rsidR="00345B5B" w:rsidRDefault="00345B5B" w:rsidP="00345B5B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E2AD2" w:rsidRPr="004E2AD2" w:rsidRDefault="004E2AD2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povezuje</w:t>
            </w:r>
            <w:proofErr w:type="spellEnd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svoje</w:t>
            </w:r>
            <w:proofErr w:type="spellEnd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tuđe</w:t>
            </w:r>
            <w:proofErr w:type="spellEnd"/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stavove, izbore i postupke s posljedicama</w:t>
            </w:r>
          </w:p>
          <w:p w:rsidR="00345B5B" w:rsidRPr="00345B5B" w:rsidRDefault="00345B5B" w:rsidP="00607AD5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E2AD2" w:rsidRPr="00345B5B" w:rsidRDefault="004E2AD2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Default="004E2AD2" w:rsidP="004E2AD2">
            <w:pPr>
              <w:pStyle w:val="NormalWeb"/>
              <w:spacing w:before="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</w:p>
          <w:p w:rsidR="004E2AD2" w:rsidRDefault="004E2AD2" w:rsidP="004E2AD2">
            <w:pPr>
              <w:pStyle w:val="NormalWeb"/>
              <w:spacing w:before="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>Uporaba informacijsko-komunikacijske tehnologije</w:t>
            </w:r>
          </w:p>
          <w:p w:rsidR="004E2AD2" w:rsidRPr="004E2AD2" w:rsidRDefault="004E2AD2" w:rsidP="004E2AD2">
            <w:p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8"/>
              </w:rPr>
            </w:pPr>
          </w:p>
          <w:p w:rsidR="00224048" w:rsidRPr="00224048" w:rsidRDefault="00224048" w:rsidP="00224048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A.3.4.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tehnologije na zdravlje i okoliš</w:t>
            </w:r>
          </w:p>
          <w:p w:rsidR="004E2AD2" w:rsidRPr="00224048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224048" w:rsidRPr="00224048" w:rsidRDefault="00224048" w:rsidP="00224048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B.3.1.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samostalno komunicira s poznatim osobama u sigurnome digitalnom okružju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</w:p>
          <w:p w:rsidR="004E2AD2" w:rsidRPr="004E2AD2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8C5C2E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651701" w:rsidRDefault="00651701"/>
    <w:p w:rsidR="00651701" w:rsidRDefault="00651701"/>
    <w:p w:rsidR="00224048" w:rsidRDefault="00224048"/>
    <w:p w:rsidR="00224048" w:rsidRDefault="007A095B" w:rsidP="007A095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8C5C2E" w:rsidTr="008C5C2E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travanj</w:t>
            </w:r>
          </w:p>
        </w:tc>
      </w:tr>
      <w:tr w:rsidR="00651701" w:rsidRPr="008C5C2E" w:rsidTr="008C5C2E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675DE3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Pr="008C5C2E" w:rsidRDefault="008C5C2E" w:rsidP="00607AD5">
            <w:pPr>
              <w:pStyle w:val="ListParagraph"/>
              <w:numPr>
                <w:ilvl w:val="0"/>
                <w:numId w:val="4"/>
              </w:numPr>
              <w:spacing w:before="120"/>
              <w:cnfStyle w:val="000000000000"/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</w:pPr>
            <w:r w:rsidRPr="008C5C2E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Dan škole – međurazredna natjecanja </w:t>
            </w:r>
            <w:r w:rsidR="00302CFA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>–</w:t>
            </w:r>
            <w:r w:rsidRPr="008C5C2E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 priprema</w:t>
            </w:r>
            <w:r w:rsidR="00302CFA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 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4E2AD2" w:rsidRPr="00AF145E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224048" w:rsidRDefault="00224048" w:rsidP="00224048">
            <w:pPr>
              <w:pStyle w:val="ListParagraph"/>
              <w:numPr>
                <w:ilvl w:val="0"/>
                <w:numId w:val="22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>goo</w:t>
            </w:r>
            <w:proofErr w:type="spellEnd"/>
            <w:r w:rsidRPr="00224048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A.3.3.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romiče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ljudska prava </w:t>
            </w:r>
          </w:p>
          <w:p w:rsidR="008C5C2E" w:rsidRPr="00224048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prepoznaje slučajeve diskriminacije u svakodnevnim situacijama i primjereno reagira na njih</w:t>
            </w:r>
          </w:p>
          <w:p w:rsidR="004E2AD2" w:rsidRPr="00FA3111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224048" w:rsidRPr="00224048" w:rsidRDefault="00224048" w:rsidP="00607AD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</w:p>
          <w:p w:rsidR="004E2AD2" w:rsidRPr="00224048" w:rsidRDefault="00224048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224048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pokazuje vještine dogovaranja, pregovaranja i postizanja kompromisa</w:t>
            </w:r>
          </w:p>
          <w:p w:rsidR="00224048" w:rsidRPr="00224048" w:rsidRDefault="00224048" w:rsidP="00224048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C.3.3.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ktivno sudjeluje i pridonosi školi i lokalnoj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zajednici</w:t>
            </w:r>
          </w:p>
          <w:p w:rsidR="004E2AD2" w:rsidRPr="00224048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sudjeluje u timskim aktivnostima</w:t>
            </w:r>
          </w:p>
          <w:p w:rsidR="004E2AD2" w:rsidRPr="00224048" w:rsidRDefault="004E2AD2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pomaže članovima zajednice</w:t>
            </w:r>
          </w:p>
          <w:p w:rsidR="004E2AD2" w:rsidRPr="004E2AD2" w:rsidRDefault="00224048" w:rsidP="00607AD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 </w:t>
            </w:r>
            <w:r w:rsidR="004E2AD2" w:rsidRPr="004E2AD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razvija komunikacijske kompetencije i uvažavajuće odnose s drugima</w:t>
            </w:r>
          </w:p>
        </w:tc>
      </w:tr>
      <w:tr w:rsidR="00F901CA" w:rsidRPr="008C5C2E" w:rsidTr="008C5C2E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2. travnja - Svjetski dan svjesnosti o autizmu • 4. travnja - Međunarodni dan svjesnosti o opasnostima od mina i pomoći u </w:t>
            </w:r>
            <w:proofErr w:type="spellStart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protuminskom</w:t>
            </w:r>
            <w:proofErr w:type="spellEnd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651701" w:rsidRDefault="00651701"/>
    <w:p w:rsidR="00651701" w:rsidRDefault="00651701"/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8A419D" w:rsidRDefault="008A419D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302CFA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svibanj</w:t>
            </w:r>
          </w:p>
        </w:tc>
      </w:tr>
      <w:tr w:rsidR="00651701" w:rsidRPr="00302CFA" w:rsidTr="00302CFA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302CFA">
        <w:trPr>
          <w:trHeight w:val="3458"/>
        </w:trPr>
        <w:tc>
          <w:tcPr>
            <w:cnfStyle w:val="00100000000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302CFA" w:rsidRP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Približava se kraj školske godine: uspjeh u učenju i vladanju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Vrline i mane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Običaji moga kraja – narodna baština</w:t>
            </w:r>
          </w:p>
          <w:p w:rsidR="00302CFA" w:rsidRPr="00302CFA" w:rsidRDefault="00302CFA" w:rsidP="00675DE3">
            <w:pPr>
              <w:pStyle w:val="NoSpacing"/>
              <w:spacing w:before="120" w:after="120"/>
              <w:ind w:left="113" w:righ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FA3111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Default="00345B5B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 w:rsidR="007E75DE" w:rsidRP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azvija komunikacijske kompetencije i uvažavajuće odnose s drugima </w:t>
            </w:r>
          </w:p>
          <w:p w:rsidR="00607AD5" w:rsidRPr="00345B5B" w:rsidRDefault="00607AD5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preuzima odgovornost za svoje postupke i izbore</w:t>
            </w:r>
          </w:p>
          <w:p w:rsidR="00345B5B" w:rsidRDefault="00345B5B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</w:t>
            </w:r>
            <w:r>
              <w:rPr>
                <w:rFonts w:ascii="Calibri" w:eastAsia="Calibri" w:hAnsi="Calibri" w:cs="Calibri"/>
                <w:b/>
                <w:bCs/>
                <w:color w:val="221F1F"/>
                <w:sz w:val="20"/>
                <w:szCs w:val="20"/>
              </w:rPr>
              <w:t>.</w:t>
            </w:r>
            <w:r w:rsidR="007E75DE">
              <w:rPr>
                <w:rFonts w:ascii="Calibri" w:eastAsia="Calibri" w:hAnsi="Calibri" w:cs="Calibri"/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5211CD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07AD5" w:rsidRPr="00345B5B" w:rsidRDefault="00607AD5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svojim ponašanjem ne ugrožava sebe ni druge</w:t>
            </w:r>
          </w:p>
          <w:p w:rsidR="00345B5B" w:rsidRDefault="00345B5B" w:rsidP="00345B5B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potencijale </w:t>
            </w:r>
          </w:p>
          <w:p w:rsidR="00607AD5" w:rsidRPr="00345B5B" w:rsidRDefault="00607AD5" w:rsidP="00345B5B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607AD5" w:rsidRPr="00FA3111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Učiti kako učiti</w:t>
            </w:r>
          </w:p>
          <w:p w:rsidR="00607AD5" w:rsidRPr="00607AD5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B.3.1.</w:t>
            </w: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</w:p>
          <w:p w:rsidR="00224048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A.3.1.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traži nove informacije iz različitih izvora, transformira ih u novo znanje i uspješno primjenjuje pri rješavanju problema</w:t>
            </w:r>
            <w:r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</w:p>
          <w:p w:rsidR="00607AD5" w:rsidRPr="00224048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odabire pristup koji je prikladan s obzirom na zahtjeve zadatka i situaciju učenja</w:t>
            </w:r>
          </w:p>
          <w:p w:rsidR="00224048" w:rsidRP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B.3.2.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z povremeni poticaj i samostalno učenik prati učinkovitost učenja i svoje napredovanje tijekom učenja </w:t>
            </w:r>
          </w:p>
          <w:p w:rsidR="00302CFA" w:rsidRPr="00224048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prati učinkovitost učenja i sv</w:t>
            </w:r>
            <w:r w:rsid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oje napredovanje tijekom učenja</w:t>
            </w:r>
          </w:p>
          <w:p w:rsidR="00607AD5" w:rsidRPr="00607AD5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sve točnije može ocijeniti svoju izvedbu planiranih aktivnosti (koliko je blizu cilja)</w:t>
            </w:r>
          </w:p>
        </w:tc>
      </w:tr>
      <w:tr w:rsidR="00CD18C6" w:rsidRPr="00302CFA" w:rsidTr="00302CFA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651701" w:rsidRDefault="00651701"/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302CFA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lipanj</w:t>
            </w:r>
          </w:p>
        </w:tc>
      </w:tr>
      <w:tr w:rsidR="00651701" w:rsidRPr="00302CFA" w:rsidTr="00302CFA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F1937A" w:themeFill="accent1" w:themeFillTint="99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ostvariti planiranu dvodnevnu 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Analiza učenja i ponašanja, prijedlog vladanja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Razredni domjenak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FA3111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Učiti kako učiti</w:t>
            </w:r>
          </w:p>
          <w:p w:rsidR="00607AD5" w:rsidRPr="00607AD5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B.3.1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</w:p>
          <w:p w:rsid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A.3.1.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samostalno traži nove informacije iz različitih izvora, transformira ih u novo znanje i uspješno primjenjuje pri rješavanju problema</w:t>
            </w:r>
            <w:r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</w:p>
          <w:p w:rsidR="00607AD5" w:rsidRPr="00224048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odabire pristup koji je prikladan s obzirom na zahtjeve zadatka i situaciju učenja</w:t>
            </w:r>
          </w:p>
          <w:p w:rsidR="00224048" w:rsidRP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 xml:space="preserve"> B.3.2.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z povremeni poticaj i samostalno učenik prati učinkovitost učenja i svoje napredovanje tijekom učenja </w:t>
            </w:r>
          </w:p>
          <w:p w:rsidR="00607AD5" w:rsidRPr="00224048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prati učinkovitost učenja i svoje napredovanje tijekom učenja</w:t>
            </w:r>
          </w:p>
          <w:p w:rsidR="00607AD5" w:rsidRPr="00FA3111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  <w:bookmarkStart w:id="0" w:name="_GoBack"/>
            <w:bookmarkEnd w:id="0"/>
          </w:p>
          <w:p w:rsidR="00224048" w:rsidRDefault="00224048" w:rsidP="00224048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zvija komunikacijske kompetencije i uvažavajuće odnose s drugima</w:t>
            </w:r>
            <w:r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</w:p>
          <w:p w:rsidR="00607AD5" w:rsidRPr="00224048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prilagođava i usklađuje svoje ponašanje s pravilima u skupini</w:t>
            </w:r>
          </w:p>
          <w:p w:rsidR="00224048" w:rsidRDefault="00224048" w:rsidP="00224048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pridonosi školi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lokalnoj zajednici </w:t>
            </w:r>
          </w:p>
          <w:p w:rsidR="00607AD5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sudjeluje u timskim aktivnostima</w:t>
            </w:r>
          </w:p>
          <w:p w:rsidR="00224048" w:rsidRPr="00224048" w:rsidRDefault="00224048" w:rsidP="00224048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B.1.2.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</w:p>
          <w:p w:rsidR="00797FAF" w:rsidRPr="00607AD5" w:rsidRDefault="00607AD5" w:rsidP="00224048">
            <w:pPr>
              <w:pStyle w:val="NoSpacing"/>
              <w:numPr>
                <w:ilvl w:val="1"/>
                <w:numId w:val="30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razvija komunikacijske kompetencije i uvažavajuće odnose s drugima</w:t>
            </w:r>
          </w:p>
        </w:tc>
      </w:tr>
      <w:tr w:rsidR="00CD18C6" w:rsidRPr="00302CFA" w:rsidTr="00302CFA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ADAD2" w:themeFill="accent1" w:themeFillTint="33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p w:rsidR="00AF7434" w:rsidRDefault="00AF7434"/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106AF"/>
    <w:multiLevelType w:val="hybridMultilevel"/>
    <w:tmpl w:val="0DC47270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C60B4"/>
    <w:multiLevelType w:val="hybridMultilevel"/>
    <w:tmpl w:val="A90228E4"/>
    <w:lvl w:ilvl="0" w:tplc="34CE379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43FD7BF0"/>
    <w:multiLevelType w:val="hybridMultilevel"/>
    <w:tmpl w:val="669E3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33FAD"/>
    <w:multiLevelType w:val="hybridMultilevel"/>
    <w:tmpl w:val="B52A7924"/>
    <w:lvl w:ilvl="0" w:tplc="0ACEC64C">
      <w:start w:val="3"/>
      <w:numFmt w:val="bullet"/>
      <w:lvlText w:val="–"/>
      <w:lvlJc w:val="left"/>
      <w:pPr>
        <w:ind w:left="822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335C7"/>
    <w:multiLevelType w:val="hybridMultilevel"/>
    <w:tmpl w:val="B97412F6"/>
    <w:lvl w:ilvl="0" w:tplc="7ECE107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4"/>
  </w:num>
  <w:num w:numId="7">
    <w:abstractNumId w:val="28"/>
  </w:num>
  <w:num w:numId="8">
    <w:abstractNumId w:val="15"/>
  </w:num>
  <w:num w:numId="9">
    <w:abstractNumId w:val="17"/>
  </w:num>
  <w:num w:numId="10">
    <w:abstractNumId w:val="22"/>
  </w:num>
  <w:num w:numId="11">
    <w:abstractNumId w:val="27"/>
  </w:num>
  <w:num w:numId="12">
    <w:abstractNumId w:val="16"/>
  </w:num>
  <w:num w:numId="13">
    <w:abstractNumId w:val="19"/>
  </w:num>
  <w:num w:numId="14">
    <w:abstractNumId w:val="8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  <w:num w:numId="19">
    <w:abstractNumId w:val="21"/>
  </w:num>
  <w:num w:numId="20">
    <w:abstractNumId w:val="18"/>
  </w:num>
  <w:num w:numId="21">
    <w:abstractNumId w:val="20"/>
  </w:num>
  <w:num w:numId="22">
    <w:abstractNumId w:val="29"/>
  </w:num>
  <w:num w:numId="23">
    <w:abstractNumId w:val="3"/>
  </w:num>
  <w:num w:numId="24">
    <w:abstractNumId w:val="23"/>
  </w:num>
  <w:num w:numId="25">
    <w:abstractNumId w:val="10"/>
  </w:num>
  <w:num w:numId="26">
    <w:abstractNumId w:val="25"/>
  </w:num>
  <w:num w:numId="27">
    <w:abstractNumId w:val="24"/>
  </w:num>
  <w:num w:numId="28">
    <w:abstractNumId w:val="11"/>
  </w:num>
  <w:num w:numId="29">
    <w:abstractNumId w:val="9"/>
  </w:num>
  <w:num w:numId="30">
    <w:abstractNumId w:val="2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2564C"/>
    <w:rsid w:val="00170590"/>
    <w:rsid w:val="001A04D1"/>
    <w:rsid w:val="001A6E6E"/>
    <w:rsid w:val="001B3291"/>
    <w:rsid w:val="001B5954"/>
    <w:rsid w:val="001B73A3"/>
    <w:rsid w:val="001C47AA"/>
    <w:rsid w:val="001F676D"/>
    <w:rsid w:val="00224048"/>
    <w:rsid w:val="00251DB2"/>
    <w:rsid w:val="00264790"/>
    <w:rsid w:val="00286883"/>
    <w:rsid w:val="002A4AC7"/>
    <w:rsid w:val="002C78DA"/>
    <w:rsid w:val="00302CFA"/>
    <w:rsid w:val="00345B5B"/>
    <w:rsid w:val="003A2A28"/>
    <w:rsid w:val="003B4864"/>
    <w:rsid w:val="003D6883"/>
    <w:rsid w:val="0041630C"/>
    <w:rsid w:val="0043028C"/>
    <w:rsid w:val="004478C8"/>
    <w:rsid w:val="004478D2"/>
    <w:rsid w:val="004620B7"/>
    <w:rsid w:val="00464F34"/>
    <w:rsid w:val="00471DA4"/>
    <w:rsid w:val="004A3F10"/>
    <w:rsid w:val="004C3546"/>
    <w:rsid w:val="004C3878"/>
    <w:rsid w:val="004E2AD2"/>
    <w:rsid w:val="0051451B"/>
    <w:rsid w:val="005211CD"/>
    <w:rsid w:val="0054757F"/>
    <w:rsid w:val="005533DF"/>
    <w:rsid w:val="00566B88"/>
    <w:rsid w:val="005757BE"/>
    <w:rsid w:val="00583D00"/>
    <w:rsid w:val="005A240A"/>
    <w:rsid w:val="005B7772"/>
    <w:rsid w:val="005D21BD"/>
    <w:rsid w:val="005E4BC1"/>
    <w:rsid w:val="00607AD5"/>
    <w:rsid w:val="00617AEF"/>
    <w:rsid w:val="006412B6"/>
    <w:rsid w:val="00643C88"/>
    <w:rsid w:val="00651701"/>
    <w:rsid w:val="006738D3"/>
    <w:rsid w:val="00675DE3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85049"/>
    <w:rsid w:val="00797FAF"/>
    <w:rsid w:val="007A095B"/>
    <w:rsid w:val="007A767C"/>
    <w:rsid w:val="007C252B"/>
    <w:rsid w:val="007E75DE"/>
    <w:rsid w:val="008066BD"/>
    <w:rsid w:val="00810B09"/>
    <w:rsid w:val="008131CA"/>
    <w:rsid w:val="008352AA"/>
    <w:rsid w:val="00843D74"/>
    <w:rsid w:val="00846C83"/>
    <w:rsid w:val="00847147"/>
    <w:rsid w:val="0086253C"/>
    <w:rsid w:val="0089003F"/>
    <w:rsid w:val="008945B6"/>
    <w:rsid w:val="008A419D"/>
    <w:rsid w:val="008C5C2E"/>
    <w:rsid w:val="008C5EFD"/>
    <w:rsid w:val="008D7851"/>
    <w:rsid w:val="00926DE5"/>
    <w:rsid w:val="0092759C"/>
    <w:rsid w:val="009505C2"/>
    <w:rsid w:val="00953581"/>
    <w:rsid w:val="00973D21"/>
    <w:rsid w:val="0098758C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6A0E"/>
    <w:rsid w:val="00AF145E"/>
    <w:rsid w:val="00AF1521"/>
    <w:rsid w:val="00AF7434"/>
    <w:rsid w:val="00B11FDD"/>
    <w:rsid w:val="00B67C90"/>
    <w:rsid w:val="00B71647"/>
    <w:rsid w:val="00B94882"/>
    <w:rsid w:val="00BC37F1"/>
    <w:rsid w:val="00BC6933"/>
    <w:rsid w:val="00BC6BEC"/>
    <w:rsid w:val="00BF5634"/>
    <w:rsid w:val="00BF7953"/>
    <w:rsid w:val="00C256B2"/>
    <w:rsid w:val="00C27C68"/>
    <w:rsid w:val="00C45BE6"/>
    <w:rsid w:val="00C47D6D"/>
    <w:rsid w:val="00C77685"/>
    <w:rsid w:val="00C9720A"/>
    <w:rsid w:val="00CA51B2"/>
    <w:rsid w:val="00CA5AF1"/>
    <w:rsid w:val="00CB15CD"/>
    <w:rsid w:val="00CD18C6"/>
    <w:rsid w:val="00CE4C69"/>
    <w:rsid w:val="00CE5E0B"/>
    <w:rsid w:val="00D030B9"/>
    <w:rsid w:val="00D22A8F"/>
    <w:rsid w:val="00D27403"/>
    <w:rsid w:val="00D40000"/>
    <w:rsid w:val="00D413F4"/>
    <w:rsid w:val="00D552D1"/>
    <w:rsid w:val="00D7340A"/>
    <w:rsid w:val="00D7360E"/>
    <w:rsid w:val="00D84677"/>
    <w:rsid w:val="00D95E82"/>
    <w:rsid w:val="00DA6F9B"/>
    <w:rsid w:val="00DB1308"/>
    <w:rsid w:val="00DD2851"/>
    <w:rsid w:val="00DD59CB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9146D"/>
    <w:rsid w:val="00EA7175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4EFB"/>
    <w:rsid w:val="00FE498E"/>
    <w:rsid w:val="00FF4EC9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ListTable6ColorfulAccent5">
    <w:name w:val="List Table 6 Colorful Accent 5"/>
    <w:basedOn w:val="TableNormal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Ind w:w="0" w:type="dxa"/>
      <w:tblBorders>
        <w:top w:val="single" w:sz="4" w:space="0" w:color="CC9900" w:themeColor="accent5"/>
        <w:bottom w:val="single" w:sz="4" w:space="0" w:color="CC99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TableWeb1"/>
    <w:uiPriority w:val="99"/>
    <w:rsid w:val="00CB15C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2">
    <w:name w:val="Grid Table 5 Dark Accent 2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Web1">
    <w:name w:val="Table Web 1"/>
    <w:basedOn w:val="TableNormal"/>
    <w:uiPriority w:val="99"/>
    <w:semiHidden/>
    <w:unhideWhenUsed/>
    <w:rsid w:val="00CB15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ListTable2Accent5">
    <w:name w:val="List Table 2 Accent 5"/>
    <w:basedOn w:val="TableNormal"/>
    <w:uiPriority w:val="47"/>
    <w:rsid w:val="00810B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NoSpacing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275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52D1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846C83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paragraph" w:customStyle="1" w:styleId="Default">
    <w:name w:val="Default"/>
    <w:rsid w:val="005D21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758E-08DA-4895-B100-CE8A66D8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13</Pages>
  <Words>2922</Words>
  <Characters>16658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sbakar</cp:lastModifiedBy>
  <cp:revision>15</cp:revision>
  <cp:lastPrinted>2019-09-05T07:27:00Z</cp:lastPrinted>
  <dcterms:created xsi:type="dcterms:W3CDTF">2019-09-05T09:46:00Z</dcterms:created>
  <dcterms:modified xsi:type="dcterms:W3CDTF">2021-08-16T08:16:00Z</dcterms:modified>
</cp:coreProperties>
</file>